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GebrMG</w:t>
      </w:r>
    </w:p>
    <w:p>
      <w:r>
        <w:rPr>
          <w:color w:val="555555"/>
          <w:sz w:val="18"/>
        </w:rPr>
        <w:t xml:space="preserve">Gebrauchsmustergesetz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Jedermann hat gegen den als Inhaber Eingetragenen Anspruch auf Löschung des Gebrauchsmusters, wenn</w:t>
      </w:r>
    </w:p>
    <w:p>
      <w:pPr>
        <w:ind w:left="420"/>
      </w:pPr>
      <w:r>
        <w:t xml:space="preserve">1. der Gegenstand des Gebrauchsmusters nach den §§ 1 bis 3 nicht schutzfähig ist,</w:t>
      </w:r>
    </w:p>
    <w:p>
      <w:pPr>
        <w:ind w:left="420"/>
      </w:pPr>
      <w:r>
        <w:t xml:space="preserve">2. der Gegenstand des Gebrauchsmusters bereits auf Grund einer früheren Patent- oder Gebrauchsmusteranmeldung geschützt worden ist oder</w:t>
      </w:r>
    </w:p>
    <w:p>
      <w:pPr>
        <w:ind w:left="420"/>
      </w:pPr>
      <w:r>
        <w:t xml:space="preserve">3. der Gegenstand des Gebrauchsmusters über den Inhalt der Anmeldung in der Fassung hinausgeht, in der sie ursprünglich eingereicht worden ist.</w:t>
      </w:r>
    </w:p>
    <w:p>
      <w:r>
        <w:t xml:space="preserve">(2) Im Falle des § 13 Abs. 2 steht nur dem Verletzten ein Anspruch auf Löschung zu.</w:t>
      </w:r>
    </w:p>
    <w:p>
      <w:r>
        <w:t xml:space="preserve">(3) Betreffen die Löschungsgründe nur einen Teil des Gebrauchsmusters, so erfolgt die Löschung nur in diesem Umfang. Die Beschränkung kann in Form einer Änderung der Schutzansprüche vorgenommen werden.</w:t>
      </w:r>
    </w:p>
    <w:p>
      <w:r>
        <w:rPr>
          <w:color w:val="555555"/>
          <w:sz w:val="17"/>
        </w:rPr>
        <w:t xml:space="preserve">Zitiervorschlag: § 15 GebrMG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