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Gebrauchsmusterschutz wird durch die Eintragung nicht begründet, soweit gegen den als Inhaber Eingetragenen für jedermann ein Anspruch auf Löschung besteht (§ 15 Abs. 1 und 3).</w:t>
      </w:r>
    </w:p>
    <w:p>
      <w:r>
        <w:t xml:space="preserve">(2) Wenn der wesentliche Inhalt der Eintragung den Beschreibungen, Zeichnungen, Modellen, Gerätschaften oder Einrichtungen eines anderen ohne dessen Einwilligung entnommen ist, tritt dem Verletzten gegenüber der Schutz des Gesetzes nicht ein.</w:t>
      </w:r>
    </w:p>
    <w:p>
      <w:r>
        <w:t xml:space="preserve">(3) Die Vorschriften des Patentgesetzes über das Recht auf den Schutz (§ 6), über den Anspruch auf Erteilung des Schutzrechts (§ 7 Abs. 1), über den Anspruch auf Übertragung (§ 8), über das Vorbenutzungsrecht (§ 12) und über die staatliche Benutzungsanordnung (§ 13) sind entsprechend anzuwenden.</w:t>
      </w:r>
    </w:p>
    <w:p>
      <w:r>
        <w:rPr>
          <w:color w:val="555555"/>
          <w:sz w:val="17"/>
        </w:rPr>
        <w:t xml:space="preserve">Zitiervorschlag: § 13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