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Wirkung des Gebrauchsmusters erstreckt sich nicht auf</w:t>
      </w:r>
    </w:p>
    <w:p>
      <w:pPr>
        <w:ind w:left="420"/>
      </w:pPr>
      <w:r>
        <w:t xml:space="preserve">1. Handlungen, die im privaten Bereich zu nichtgewerblichen Zwecken vorgenommen werden;</w:t>
      </w:r>
    </w:p>
    <w:p>
      <w:pPr>
        <w:ind w:left="420"/>
      </w:pPr>
      <w:r>
        <w:t xml:space="preserve">2. Handlungen zu Versuchszwecken, die sich auf den Gegenstand des Gebrauchsmusters beziehen;</w:t>
      </w:r>
    </w:p>
    <w:p>
      <w:pPr>
        <w:ind w:left="420"/>
      </w:pPr>
      <w:r>
        <w:t xml:space="preserve">3. Handlungen der in § 11 Nr. 4 bis 6 des Patentgesetzes bezeichneten Art.</w:t>
      </w:r>
    </w:p>
    <w:p>
      <w:r>
        <w:rPr>
          <w:color w:val="555555"/>
          <w:sz w:val="17"/>
        </w:rPr>
        <w:t xml:space="preserve">Zitiervorschlag: § 12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