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Gebrauchsmuster werden Erfindungen geschützt, die neu sind, auf einem erfinderischen Schritt beruhen und gewerblich anwendbar sind.</w:t>
      </w:r>
    </w:p>
    <w:p>
      <w:r>
        <w:t xml:space="preserve">(2) Als Gegenstand eines Gebrauchsmusters im Sinne des Absatzes 1 werden insbesondere nicht angesehen:</w:t>
      </w:r>
    </w:p>
    <w:p>
      <w:pPr>
        <w:ind w:left="420"/>
      </w:pPr>
      <w:r>
        <w:t xml:space="preserve">1. Entdeckungen sowie wissenschaftliche Theorien und mathematische Methoden;</w:t>
      </w:r>
    </w:p>
    <w:p>
      <w:pPr>
        <w:ind w:left="420"/>
      </w:pPr>
      <w:r>
        <w:t xml:space="preserve">2. ästhetische Formschöpfungen;</w:t>
      </w:r>
    </w:p>
    <w:p>
      <w:pPr>
        <w:ind w:left="420"/>
      </w:pPr>
      <w:r>
        <w:t xml:space="preserve">3. Pläne, Regeln und Verfahren für gedankliche Tätigkeiten, für Spiele oder für geschäftliche Tätigkeiten sowie Programme für Datenverarbeitungsanlagen;</w:t>
      </w:r>
    </w:p>
    <w:p>
      <w:pPr>
        <w:ind w:left="420"/>
      </w:pPr>
      <w:r>
        <w:t xml:space="preserve">4. die Wiedergabe von Informationen;</w:t>
      </w:r>
    </w:p>
    <w:p>
      <w:pPr>
        <w:ind w:left="420"/>
      </w:pPr>
      <w:r>
        <w:t xml:space="preserve">5. biotechnologische Erfindungen (§ 1 Abs. 2 des Patentgesetzes).</w:t>
      </w:r>
    </w:p>
    <w:p>
      <w:r>
        <w:t xml:space="preserve">(3) Absatz 2 steht dem Schutz als Gebrauchsmuster nur insoweit entgegen, als für die genannten Gegenstände oder Tätigkeiten als solche Schutz begehrt wird.</w:t>
      </w:r>
    </w:p>
    <w:p>
      <w:r>
        <w:rPr>
          <w:color w:val="555555"/>
          <w:sz w:val="17"/>
        </w:rPr>
        <w:t xml:space="preserve">Zitiervorschlag: § 1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