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GebietsÄGOder-Welse (Brandenburg) — Stadtverordnetenversammlung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derzeitigen Mitglieder der Gemeindevertretung der Gemeinden Berkholz-Meyenburg und Mark Landin wählen für den Zeitraum bis zur nächsten Kommunalwahl in Anwendung des § 41 der Kommunalverfassung des Landes Brandenburg jeweils aus ihrer Mitte drei Vertreter oder Vertreterinnen, die Gemeinde Passow vier Vertreter oder Vertreterinnen, die der Stadtverordnetenversammlung der aufnehmenden Stadt Schwedt/Oder bis zum Ende der laufenden Kommunalwahlperiode mit Stimmrecht angehören.</w:t>
      </w:r>
    </w:p>
    <w:p>
      <w:r>
        <w:t xml:space="preserve">(2) Die bisherigen Gemeindevertreter und Gemeindevertreterinnen, die keinen Sitz in der Stadtverordnetenversammlung der aufnehmenden Stadt Schwedt/Oder erhalten, sind in Anwendung des § 41 der Kommunalverfassung des Landes Brandenburg als Ersatzmitglieder zu bestimmen.</w:t>
      </w:r>
    </w:p>
    <w:p>
      <w:r>
        <w:rPr>
          <w:color w:val="555555"/>
          <w:sz w:val="17"/>
        </w:rPr>
        <w:t xml:space="preserve">Zitiervorschlag: § 9 GebietsÄGOder-Welse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