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GebietsÄGOder-Welse (Brandenburg) — Rechtsstellung der betroffenen Tarifbeschäftigten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bestehenden Arbeitnehmerverhältnisse des Amtes Oder-Welse gehen auf die Stadt Schwedt/Oder über. Zusätzlich zu den in § 613a des Bürgerlichen Gesetzbuches normierten Rechten und Pflichten wird die Stadt Schwedt/Oder zu einem Bestandsschutz dieser Arbeitsverhältnisse für die Dauer von fünf Jahren verpflichtet. Dieser Bestandsschutz lässt das Recht der Stadt Schwedt/Oder auf personen- oder verhaltensbedingte Kündigung unberührt.</w:t>
      </w:r>
    </w:p>
    <w:p>
      <w:r>
        <w:t xml:space="preserve">(2) Abweichend von der Personalhoheit der Stadt Schwedt/Oder ist das Einvernehmen der Gemeindevertretung Pinnow bei der Einstellung der Kindertagesstättenleitung der Kindertagesstätte „Kleine Oderwelse“ einzuholen.</w:t>
      </w:r>
    </w:p>
    <w:p>
      <w:r>
        <w:rPr>
          <w:color w:val="555555"/>
          <w:sz w:val="17"/>
        </w:rPr>
        <w:t xml:space="preserve">Zitiervorschlag: § 4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