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GebietsÄGOder-Welse (Brandenburg) — Mitverwaltung/Eingliederung der Gemeinden Berkholz-Meyenburg, Mark Landin und Passow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Berkholz-Meyenburg, Mark Landin und Passow werden in die Stadt Schwedt/Oder eingegliedert.</w:t>
      </w:r>
    </w:p>
    <w:p>
      <w:r>
        <w:t xml:space="preserve">(2) Die Gemeinde Pinnow wird im Rahmen der Mitverwaltung der Stadt Schwedt/Oder zugeordnet. Soweit in diesem Gesetz keine abweichenden Regelungen getroffen werden, finden die Regelungen des Abschnitts 3 des Verbandsgemeinde- und Mitverwaltungsgesetzes Anwendung.</w:t>
      </w:r>
    </w:p>
    <w:p>
      <w:r>
        <w:t xml:space="preserve">(3) Die Strukturänderungen nach den Absätzen 1 und 2 gelten als Gemeindestrukturänderungen im Sinne des § 1 Satz 1 des Gemeindestrukturänderungsförderungsgesetzes. Die Vorschriften der §§ 2 und 3 des Gemeindestrukturänderungsförderungsgesetzes sind mit der Maßgabe, dass die Zuwendungen nach § 2 Absatz 2 Satz 1 und 2 des Gemeindestrukturänderungsförderungsgesetzes nach dem Verhältnis der übergehenden Bevölkerungszahl der jeweiligen Gemeinde zu kürzen sind, entsprechend anzuwenden. Der Antrag auf Gewährung der Einmalkostenpauschale nach § 2 Absatz 2 Satz 1 des Gemeindestrukturänderungsförderungsgesetzes ist von der Stadt Schwedt/Oder unter Beifügung einer Planung zur Mittelverwendung zu stellen.</w:t>
      </w:r>
    </w:p>
    <w:p>
      <w:r>
        <w:rPr>
          <w:color w:val="555555"/>
          <w:sz w:val="17"/>
        </w:rPr>
        <w:t xml:space="preserve">Zitiervorschlag: § 2 GebietsÄGOder-Welse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