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GebietsÄGOder-Welse (Brandenburg) — Mitgliedschaft, Verträge und Rechtsstreitigkeiten</w:t>
      </w:r>
    </w:p>
    <w:p>
      <w:r>
        <w:rPr>
          <w:color w:val="555555"/>
          <w:sz w:val="18"/>
        </w:rPr>
        <w:t xml:space="preserve">Gebietsänderungsgesetz für das Amt Oder-Welse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Stadt Schwedt/Oder tritt bezüglich der Mitgliedschaften, Beteiligungen, Verträge und Rechtsstreitigkeiten an die Stelle der Gemeinden Berkholz-Meyenburg, Mark Landin und Passow. Die Stadt Schwedt/Oder tritt vorbehaltlich der §§ 6 und 14 auch an die Stelle des bisherigen Amtes Oder-Welse bezüglich dessen bisherigen Rechten und Pflichten, Mitgliedschaften, Beteiligungen, Verträgen und Rechtsstreitigkeiten.</w:t>
      </w:r>
    </w:p>
    <w:p>
      <w:r>
        <w:rPr>
          <w:color w:val="555555"/>
          <w:sz w:val="17"/>
        </w:rPr>
        <w:t xml:space="preserve">Zitiervorschlag: § 12 GebietsÄGOder-Welse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https://recht.nulegal.eu/gesetze/Gebiets%C3%84GOder-Welse/12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