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GebReinAusbVO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Auf Grund des § 25 Absatz 1 Satz 1 der Handwerksordnung in der Fassung der Bekanntmachung vom 24. September 1998 (BGBl. I S. 3074; 2006 I S. 2095), der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