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GebReinAusbVO — Gegenstand der Berufsausbildung und Ausbildungsrahmenplan</w:t>
      </w:r>
    </w:p>
    <w:p>
      <w:r>
        <w:rPr>
          <w:color w:val="555555"/>
          <w:sz w:val="18"/>
        </w:rPr>
        <w:t xml:space="preserve">Gebäudereinigerausbildungsverordnung</w:t>
      </w:r>
    </w:p>
    <w:p>
      <w:r>
        <w:rPr>
          <w:color w:val="555555"/>
          <w:sz w:val="18"/>
        </w:rPr>
        <w:t xml:space="preserve">Stand: 01.08.2019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4 GebReinAusbVO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https://recht.nulegal.eu/gesetze/GebReinAusbVO/4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