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3 GebReinAusbVO — Begriffsbestimmungen</w:t>
      </w:r>
    </w:p>
    <w:p>
      <w:r>
        <w:rPr>
          <w:color w:val="555555"/>
          <w:sz w:val="18"/>
        </w:rPr>
        <w:t xml:space="preserve">Gebäudereinigerausbildungsverordnung</w:t>
      </w:r>
    </w:p>
    <w:p>
      <w:r>
        <w:rPr>
          <w:color w:val="555555"/>
          <w:sz w:val="18"/>
        </w:rPr>
        <w:t xml:space="preserve">Stand: 01.08.2019 (konsolidierte Textfassung, kein amtliches Inkrafttretensdatum)</w:t>
      </w:r>
    </w:p>
    <w:p>
      <w:r>
        <w:t xml:space="preserve">Im Sinne dieser Verordnung ist</w:t>
      </w:r>
    </w:p>
    <w:p>
      <w:pPr>
        <w:ind w:left="420"/>
      </w:pPr>
      <w:r>
        <w:t xml:space="preserve">1. Dekontamination nach einer Schädlingsbekämpfung durch Schädlingsbekämpfer das Beseitigen von Hinterlassenschaften und Kadavern, das Reinigen von Oberflächen nach einer Ausgasung sowie die Beseitigung von Reststoffen,</w:t>
      </w:r>
    </w:p>
    <w:p>
      <w:pPr>
        <w:ind w:left="420"/>
      </w:pPr>
      <w:r>
        <w:t xml:space="preserve">2. Schädlingsmonitoring das Feststellen eines Schädlingsbefalls nach Art und Menge der Schädlinge durch Begehungen oder durch digitale Überwachung und</w:t>
      </w:r>
    </w:p>
    <w:p>
      <w:pPr>
        <w:ind w:left="420"/>
      </w:pPr>
      <w:r>
        <w:t xml:space="preserve">3. Sanitationsmethode der Einsatz von Reinigungsmethoden, die zur Verminderung krankmachender Keime und weiterer Mikroorganismen führen.</w:t>
      </w:r>
    </w:p>
    <w:p>
      <w:r>
        <w:rPr>
          <w:color w:val="555555"/>
          <w:sz w:val="17"/>
        </w:rPr>
        <w:t xml:space="preserve">Zitiervorschlag: § 3 GebReinAusbVO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https://recht.nulegal.eu/gesetze/GebReinAusbVO/3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