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GebReinAusbVO — Bestehende Berufsausbildungsverhältnisse</w:t>
      </w:r>
    </w:p>
    <w:p>
      <w:r>
        <w:rPr>
          <w:color w:val="555555"/>
          <w:sz w:val="18"/>
        </w:rPr>
        <w:t xml:space="preserve">Gebäudereinigerausbildungsverordnung</w:t>
      </w:r>
    </w:p>
    <w:p>
      <w:r>
        <w:rPr>
          <w:color w:val="555555"/>
          <w:sz w:val="18"/>
        </w:rPr>
        <w:t xml:space="preserve">Stand: 01.08.2019 (konsolidierte Textfassung, kein amtliches Inkrafttretensdatum)</w:t>
      </w:r>
    </w:p>
    <w:p>
      <w:r>
        <w:t xml:space="preserve">Berufsausbildungsverhältnisse,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nach § 7 der Verordnung über die Berufsausbildung zum Gebäudereiniger/zur Gebäudereinigerin vom 21. April 1999 (BGBl. I S. 797) in der bis zum 31. Juli 2019 geltenden Fassung absolviert hat.</w:t>
      </w:r>
    </w:p>
    <w:p>
      <w:r>
        <w:rPr>
          <w:color w:val="555555"/>
          <w:sz w:val="17"/>
        </w:rPr>
        <w:t xml:space="preserve">Zitiervorschlag: § 18 GebReinAusbVO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https://recht.nulegal.eu/gesetze/GebReinAusbVO/18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