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GebReinAusbVO — Gewichtung der Prüfungsbereiche und Anforderungen für das Bestehen der Gesellenprüfung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Durchführen von Gebäudereinigungsarbeiten mit    30 Prozent,</w:t>
      </w:r>
    </w:p>
    <w:p>
      <w:r>
        <w:rPr>
          <w:rFonts w:ascii="Courier New" w:hAnsi="Courier New"/>
          <w:sz w:val="17"/>
        </w:rPr>
        <w:t xml:space="preserve">Anwenden von Grund- und Außenreinigungsverfahren mit    25 Prozent,</w:t>
      </w:r>
    </w:p>
    <w:p>
      <w:r>
        <w:rPr>
          <w:rFonts w:ascii="Courier New" w:hAnsi="Courier New"/>
          <w:sz w:val="17"/>
        </w:rPr>
        <w:t xml:space="preserve">Durchführen von Hygienemaßnahmen mit    15 Prozent,</w:t>
      </w:r>
    </w:p>
    <w:p>
      <w:r>
        <w:rPr>
          <w:rFonts w:ascii="Courier New" w:hAnsi="Courier New"/>
          <w:sz w:val="17"/>
        </w:rPr>
        <w:t xml:space="preserve">Reinigen, Pflegen und Konservieren von Oberflächen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– auch unter Berücksichtigung einer mündlichen Ergänzungsprüfung nach Absatz 3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„Reinigen, Pflegen und Konservieren von Oberflächen“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