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GebOVerm (Bayern)</w:t>
      </w:r>
    </w:p>
    <w:p>
      <w:r>
        <w:rPr>
          <w:color w:val="555555"/>
          <w:sz w:val="18"/>
        </w:rPr>
        <w:t xml:space="preserve">Verordnung über die Gebühren der unteren Vermessungsbehörden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München, den 15. März 2006</w:t>
      </w:r>
    </w:p>
    <w:p>
      <w:r>
        <w:t xml:space="preserve">Bayerisches Staatsministerium der Finanzen</w:t>
      </w:r>
    </w:p>
    <w:p>
      <w:r>
        <w:t xml:space="preserve">Prof. Dr. Kurt Faltlhauser, Staatsminister</w:t>
      </w:r>
    </w:p>
    <w:p>
      <w:r>
        <w:rPr>
          <w:color w:val="555555"/>
          <w:sz w:val="17"/>
        </w:rPr>
        <w:t xml:space="preserve">Zitiervorschlag: Schlussformel GebOVerm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https://recht.nulegal.eu/gesetze/GebOVerm/schlussformel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