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GebOVerm (Bayern)</w:t>
      </w:r>
    </w:p>
    <w:p>
      <w:r>
        <w:rPr>
          <w:color w:val="555555"/>
          <w:sz w:val="18"/>
        </w:rPr>
        <w:t xml:space="preserve">Verordnung über die Gebühren der unteren Vermessungsbehörden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Auf Grund des Art. 21 Abs. 1 Satz 1 des Kostengesetzes vom 20. Februar 1998 (GVBl. S. 43, BayRS 2013-1-1-F), zuletzt geändert durch Art. 8 des Gesetzes vom 26. Juli 2005 (GVBl. S. 287), erlässt das Bayerische Staatsministerium der Finanzen folgende Verordnung:</w:t>
      </w:r>
    </w:p>
    <w:p>
      <w:r>
        <w:rPr>
          <w:color w:val="555555"/>
          <w:sz w:val="17"/>
        </w:rPr>
        <w:t xml:space="preserve">Zitiervorschlag: Eingangsformel GebOVerm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https://recht.nulegal.eu/gesetze/GebOVerm/eingangsformel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