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GebOVerm (Bayern) — Gebühren in besonderen Fällen</w:t>
      </w:r>
    </w:p>
    <w:p>
      <w:r>
        <w:rPr>
          <w:color w:val="555555"/>
          <w:sz w:val="18"/>
        </w:rPr>
        <w:t xml:space="preserve">Verordnung über die Gebühren der unteren Vermessungsbehörden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Wird ein Antrag nach Beginn, aber vor Abschluss der sachlichen Bearbeitung zurückgenommen, sind die erbrachten Leistungen nach den §§ 2 und 5 abzurechnen. Dies gilt auch, wenn ein Antrag wegen Uneinigkeit der Beteiligten oder aus anderen Gründen, die die untere Vermessungsbehörde nicht zu vertreten hat, nicht abschließend bearbeitet werden kann.</w:t>
      </w:r>
    </w:p>
    <w:p>
      <w:r>
        <w:t xml:space="preserve">(2) Wird eine vorzeitig beendete Leistung auf erneuten Antrag hin oder nach Wegfall des Hindernisses fortgesetzt, so sind die nach Abs. 1 angefallenen Gebühren insoweit anzurechnen, als durch die frühere Teilleistung Zeitaufwand eingespart wird.</w:t>
      </w:r>
    </w:p>
    <w:p>
      <w:r>
        <w:t xml:space="preserve">(3) Für Leistungen zur Wiederherstellung des ursprünglichen Katasterstands nach Art. 8 Abs. 5 VermKatG werden Gebühren nach § 2 ohne Ansatz des Wertfaktors nach § 4 erhoben.</w:t>
      </w:r>
    </w:p>
    <w:p>
      <w:r>
        <w:t xml:space="preserve">(4) Bei besonderem Nachforschungsaufwand in externen Rechtsnachweisen werden Gebühren nach § 2 ohne Ansatz des Wertfaktors nach § 4 erhoben.</w:t>
      </w:r>
    </w:p>
    <w:p>
      <w:r>
        <w:t xml:space="preserve">(5) Das Staatsministerium der Finanzen und für Heimat (Staatsministerium) kann von dieser Verordnung abweichende Vereinbarungen schließen.</w:t>
      </w:r>
    </w:p>
    <w:p>
      <w:r>
        <w:rPr>
          <w:color w:val="555555"/>
          <w:sz w:val="17"/>
        </w:rPr>
        <w:t xml:space="preserve">Zitiervorschlag: § 9 GebOVerm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https://recht.nulegal.eu/gesetze/GebOVerm/9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