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GebOVerm (Bayern) — Entstehung des Anspruchs, Fälligkeit</w:t>
      </w:r>
    </w:p>
    <w:p>
      <w:r>
        <w:rPr>
          <w:color w:val="555555"/>
          <w:sz w:val="18"/>
        </w:rPr>
        <w:t xml:space="preserve">Verordnung über die Gebühren der unteren Vermessungsbehörden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Anspruch auf die Gebühren und Auslagen entsteht mit Beendigung der Leistung oder der Zurücknahme des Antrags.</w:t>
      </w:r>
    </w:p>
    <w:p>
      <w:r>
        <w:t xml:space="preserve">(2) Die Gebühren und Auslagen werden mit der Bekanntgabe des Bescheids fällig, wenn nicht die festsetzende Behörde oder die übergeordneten Behörden einen späteren Zeitpunkt bestimmen.</w:t>
      </w:r>
    </w:p>
    <w:p>
      <w:r>
        <w:rPr>
          <w:color w:val="555555"/>
          <w:sz w:val="17"/>
        </w:rPr>
        <w:t xml:space="preserve">Zitiervorschlag: § 14 GebOVerm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https://recht.nulegal.eu/gesetze/GebOVerm/14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