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GebOVerm (Bayern) — Auslagen</w:t>
      </w:r>
    </w:p>
    <w:p>
      <w:r>
        <w:rPr>
          <w:color w:val="555555"/>
          <w:sz w:val="18"/>
        </w:rPr>
        <w:t xml:space="preserve">Verordnung über die Gebühren der unteren Vermessungsbehörden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Neben den Gebühren werden folgende Auslagen erhoben:</w:t>
      </w:r>
    </w:p>
    <w:p>
      <w:r>
        <w:t xml:space="preserve">1. Entgelte für die Beförderung und Zustellung von Sendungen, ausgenommen die Entgelte für Briefsendungen,</w:t>
      </w:r>
    </w:p>
    <w:p>
      <w:r>
        <w:t xml:space="preserve">2. Aufwendungen für Verpackungsmaterial und für Datenträger, soweit der Betrag 5 € übersteigt,</w:t>
      </w:r>
    </w:p>
    <w:p>
      <w:r>
        <w:t xml:space="preserve">3. Aufwendungen für Material, das für die Bezeichnung und Sicherung der Grenz- und Vermessungspunkte verwendet wird,</w:t>
      </w:r>
    </w:p>
    <w:p>
      <w:r>
        <w:t xml:space="preserve">4. anderen Behörden oder anderen Personen für ihre Tätigkeit zustehende Beträge,</w:t>
      </w:r>
    </w:p>
    <w:p>
      <w:r>
        <w:t xml:space="preserve">5. die für die Gebührensumme nach den §§ 2 bis 6, § 8 Abs. 1 Satz 2 Nr. 1 und Abs. 2 Satz 1, § 10 Abs. 1 und 2 sowie die Auslagen nach den Nrn. 1 bis 4 gesetzlich geschuldete Umsatzsteuer.</w:t>
      </w:r>
    </w:p>
    <w:p>
      <w:r>
        <w:t xml:space="preserve">(2) Bei Gebührenfreiheit sind die Auslagen nach Abs. 1 Nrn. 1 bis 4 zu erheben, wenn sie mehr als 5 € betragen. Auslagen, die bei richtiger Sachbehandlung nicht entstanden wären, werden nicht erhoben.</w:t>
      </w:r>
    </w:p>
    <w:p>
      <w:r>
        <w:rPr>
          <w:color w:val="555555"/>
          <w:sz w:val="17"/>
        </w:rPr>
        <w:t xml:space="preserve">Zitiervorschlag: § 11 GebOVerm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https://recht.nulegal.eu/gesetze/GebOVerm/11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