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GebOUmwelt (Brandenburg) — Inkrafttreten, Außerkrafttreten</w:t>
      </w:r>
    </w:p>
    <w:p>
      <w:r>
        <w:rPr>
          <w:color w:val="555555"/>
          <w:sz w:val="18"/>
        </w:rPr>
        <w:t xml:space="preserve">Gebührenordnung Umwelt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treten die §§ 4 und 6 sowie Anlage 2 Tarifstelle 1 bis 6, 13.1 bis 13.9, 13.11 bis 13.25 und 13.27 bis 13.34 der Gebührenordnung des Ministeriums für Ländliche Entwicklung, Umwelt und Verbraucherschutz vom 17. Juli 2007 ( GVBl. II S. 314), die zuletzt durch Artikel 2 der Verordnung vom 28. März 2011 (GVBl. II Nr. 18) geändert worden ist, außer Kraft.</w:t>
      </w:r>
    </w:p>
    <w:p>
      <w:r>
        <w:t xml:space="preserve">Potsdam, den 22. November 2011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t xml:space="preserve">Anlage</w:t>
      </w:r>
    </w:p>
    <w:p>
      <w:r>
        <w:t xml:space="preserve">Inhaltsübersicht des Gebührentarifs der Anlagen 1 bis 3 (Überschriften in Kurzform):</w:t>
      </w:r>
    </w:p>
    <w:p>
      <w:r>
        <w:rPr>
          <w:color w:val="555555"/>
          <w:sz w:val="17"/>
        </w:rPr>
        <w:t xml:space="preserve">Zitiervorschlag: § 6 GebOUmwelt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https://recht.nulegal.eu/gesetze/GebOUmwelt/6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