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GebOUmwelt (Brandenburg) — Einschränkung der persönlichen Gebührenfreiheit</w:t>
      </w:r>
    </w:p>
    <w:p>
      <w:r>
        <w:rPr>
          <w:color w:val="555555"/>
          <w:sz w:val="18"/>
        </w:rPr>
        <w:t xml:space="preserve">Gebührenordnung Umwelt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Zur Zahlung von Gebühren für Amtshandlungen der Wasserbehörden nach Tarifstelle 5.1.5.1 der Anlage 2 sowie für die Amtshandlungen nach Tarifstelle 5.1.6 der Anlage 2 für die mit den vorgenannten Amtshandlungen zugelassenen Anlagen sowie für Amtshandlungen der Tarifstellen 5.1.35 und 5.4 der Anlage 2 bleiben die Gemeinden und Gemeindeverbände gemäß § 3 Absatz 2 Nummer 1 des Gebührengesetzes für das Land Brandenburg verpflichtet. Zur Zahlung von Gebühren für Amtshandlungen der Wasserbehörden nach den Tarifstellen der Anlage 2 bleiben die Gewässerunterhaltungsverbände verpflichtet.</w:t>
      </w:r>
    </w:p>
    <w:p>
      <w:r>
        <w:rPr>
          <w:color w:val="555555"/>
          <w:sz w:val="17"/>
        </w:rPr>
        <w:t xml:space="preserve">Zitiervorschlag: § 5 GebOUmwelt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https://recht.nulegal.eu/gesetze/GebOUmwelt/5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