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GebOUmwelt (Brandenburg) — Mehrfache Amtshandlungen</w:t>
      </w:r>
    </w:p>
    <w:p>
      <w:r>
        <w:rPr>
          <w:color w:val="555555"/>
          <w:sz w:val="18"/>
        </w:rPr>
        <w:t xml:space="preserve">Gebührenordnung Umwelt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Zur Abgeltung mehrfacher Amtshandlungen, die denselben Schuldner und dieselbe Tarifstelle betreffen, können die Gebühren für einen im Voraus zu bestimmenden Zeitraum von höchstens einem Jahr auf Antrag pauschal festgesetzt werden.</w:t>
      </w:r>
    </w:p>
    <w:p>
      <w:r>
        <w:rPr>
          <w:color w:val="555555"/>
          <w:sz w:val="17"/>
        </w:rPr>
        <w:t xml:space="preserve">Zitiervorschlag: § 2 GebOUmwelt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https://recht.nulegal.eu/gesetze/GebOUmwelt/2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