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GebOMdJ (Brandenburg) — In-Kraft-Treten</w:t>
      </w:r>
    </w:p>
    <w:p>
      <w:r>
        <w:rPr>
          <w:color w:val="555555"/>
          <w:sz w:val="18"/>
        </w:rPr>
        <w:t xml:space="preserve">Gebührenordnung MdJ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mit Wirkung vom 16. Februar 2000 in Kraft.</w:t>
      </w:r>
    </w:p>
    <w:p>
      <w:r>
        <w:t xml:space="preserve">Potsdam, den 10. August 2000</w:t>
      </w:r>
    </w:p>
    <w:p>
      <w:r>
        <w:t xml:space="preserve">Der Minister der Justiz</w:t>
      </w:r>
    </w:p>
    <w:p>
      <w:r>
        <w:t xml:space="preserve">und für Europaangelegenheiten</w:t>
      </w:r>
    </w:p>
    <w:p>
      <w:r>
        <w:t xml:space="preserve">In Vertretung</w:t>
      </w:r>
    </w:p>
    <w:p>
      <w:r>
        <w:t xml:space="preserve">Gustav-Adolf Stange</w:t>
      </w:r>
    </w:p>
    <w:p>
      <w:r>
        <w:rPr>
          <w:color w:val="555555"/>
          <w:sz w:val="17"/>
        </w:rPr>
        <w:t xml:space="preserve">Zitiervorschlag: § 2 GebOMdJ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https://recht.nulegal.eu/gesetze/GebOMdJ/2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