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GebOMdFE (Brandenburg) — Inkrafttreten, Außerkrafttreten</w:t>
      </w:r>
    </w:p>
    <w:p>
      <w:r>
        <w:rPr>
          <w:color w:val="555555"/>
          <w:sz w:val="18"/>
        </w:rPr>
        <w:t xml:space="preserve">Verordnung über die Gebühren für Amtshandlungen im Geschäftsbereich des Ministeriums der Finanzen und für Europa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über die Gebühren für Amtshandlungen im Geschäftsbereich des Ministeriums der Finanzen vom 2. April 2003 ( GVBl. II S. 298) außer Kraft.</w:t>
      </w:r>
    </w:p>
    <w:p>
      <w:r>
        <w:t xml:space="preserve">Einzelnorm</w:t>
      </w:r>
    </w:p>
    <w:p>
      <w:r>
        <w:t xml:space="preserve">Potsdam, den 25. März 2020</w:t>
      </w:r>
    </w:p>
    <w:p>
      <w:r>
        <w:t xml:space="preserve">Die Ministerin der Finanzen und für Europa</w:t>
      </w:r>
    </w:p>
    <w:p>
      <w:r>
        <w:t xml:space="preserve">Katrin Lange</w:t>
      </w:r>
    </w:p>
    <w:p>
      <w:r>
        <w:t xml:space="preserve">Anlagen</w:t>
      </w:r>
    </w:p>
    <w:p>
      <w:r>
        <w:t xml:space="preserve">1</w:t>
      </w:r>
    </w:p>
    <w:p>
      <w:r>
        <w:t xml:space="preserve">Anlage - Gebührenordnung des Ministeriums der Finanzen und für Europa 161.6 KB</w:t>
      </w:r>
    </w:p>
    <w:p>
      <w:r>
        <w:rPr>
          <w:color w:val="555555"/>
          <w:sz w:val="17"/>
        </w:rPr>
        <w:t xml:space="preserve">Zitiervorschlag: § 2 GebOMdFE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https://recht.nulegal.eu/gesetze/GebOMdFE/2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