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GebOMdFE (Brandenburg) — Gebührentarif</w:t>
      </w:r>
    </w:p>
    <w:p>
      <w:r>
        <w:rPr>
          <w:color w:val="555555"/>
          <w:sz w:val="18"/>
        </w:rPr>
        <w:t xml:space="preserve">Verordnung über die Gebühren für Amtshandlungen im Geschäftsbereich des Ministeriums der Finanzen und für Europa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Amtshandlungen im Geschäftsbereich des Ministeriums der Finanzen und für Europa werden Gebühren nach anliegendem Gebührentarif, der Bestandteil dieser Verordnung ist, erhoben.</w:t>
      </w:r>
    </w:p>
    <w:p>
      <w:r>
        <w:t xml:space="preserve">(2) Soweit die Leistungen der Umsatzsteuer unterliegen, werden Gebühren und Auslagen nach dieser Verordnung zuzüglich der gesetzlichen Umsatzsteuer erhoben.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GebOMdFE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https://recht.nulegal.eu/gesetze/GebOMdFE/1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