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GebOMWFK (Brandenburg)</w:t>
      </w:r>
    </w:p>
    <w:p>
      <w:r>
        <w:rPr>
          <w:color w:val="555555"/>
          <w:sz w:val="18"/>
        </w:rPr>
        <w:t xml:space="preserve">Gebührenordnung des Ministeriums für Wissenschaft, Forschung und Kultur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Gleichzeitig tritt die Verordnung über die Gebühren für Amtshandlungen im Geschäftsbereich des Ministers für Wissenschaft, Forschung und Kultur vom 29. November 1995 ( GVBl. II S. 706) außer Kraft.</w:t>
      </w:r>
    </w:p>
    <w:p>
      <w:r>
        <w:t xml:space="preserve">Potsdam, den 15. Januar 2002</w:t>
      </w:r>
    </w:p>
    <w:p>
      <w:r>
        <w:t xml:space="preserve">Die Ministerin für Wissenschaft Forschung und Kultur</w:t>
      </w:r>
    </w:p>
    <w:p>
      <w:r>
        <w:t xml:space="preserve">Prof. Dr. Johanna Wanka</w:t>
      </w:r>
    </w:p>
    <w:p>
      <w:r>
        <w:rPr>
          <w:color w:val="555555"/>
          <w:sz w:val="17"/>
        </w:rPr>
        <w:t xml:space="preserve">Zitiervorschlag: § 4 GebOMWFK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https://recht.nulegal.eu/gesetze/GebOMWFK/4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