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GebOMWFK (Brandenburg)</w:t>
      </w:r>
    </w:p>
    <w:p>
      <w:r>
        <w:rPr>
          <w:color w:val="555555"/>
          <w:sz w:val="18"/>
        </w:rPr>
        <w:t xml:space="preserve">Gebührenordnung des Ministeriums für Wissenschaft, Forschung und Kultur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Gebührenordnungen auf Grund des § 17 Absatz 1 Nummer 2 des Brandenburgischen Archivgesetzes vom 7. April 1994 ( GVBl. I S. 94), das zuletzt durch Artikel 4 des Gesetzes vom 5. März 2024 (GVBl. I Nr. 9 S. 7) geändert worden ist, bleiben unberührt.</w:t>
      </w:r>
    </w:p>
    <w:p>
      <w:r>
        <w:rPr>
          <w:color w:val="555555"/>
          <w:sz w:val="17"/>
        </w:rPr>
        <w:t xml:space="preserve">Zitiervorschlag: § 3 GebOMWFK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https://recht.nulegal.eu/gesetze/GebOMWFK/3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