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GebOMWFK (Brandenburg)</w:t>
      </w:r>
    </w:p>
    <w:p>
      <w:r>
        <w:rPr>
          <w:color w:val="555555"/>
          <w:sz w:val="18"/>
        </w:rPr>
        <w:t xml:space="preserve">Gebührenordnung des Ministeriums für Wissenschaft, Forschung und Kultur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Amtshandlungen im Geschäftsbereich des Ministeriums für Wissenschaft, Forschung und Kultur werden Gebühren nach anliegendem Gebührentarif, der Bestandteil dieser Verordnung ist, erhoben.</w:t>
      </w:r>
    </w:p>
    <w:p>
      <w:r>
        <w:t xml:space="preserve">(2) Auslagen werden gesondert erhoben und sind vom Schuldner zu erstatten. Als Auslagen gelten Aufwendungen, die im Zusammenhang stehen mit:</w:t>
      </w:r>
    </w:p>
    <w:p>
      <w:r>
        <w:t xml:space="preserve">Konzeptprüfungen, Akkreditierungen, Evaluierungen oder andere gutachterliche Stellungnahmen,</w:t>
      </w:r>
    </w:p>
    <w:p>
      <w:r>
        <w:t xml:space="preserve">der Prüfung des Insolvenzrisikos einschließlich der Erarbeitung von Vorkehrungen zur Minderung oder Abwendung eines Insolvenzrisikos durch Dritte, sowie</w:t>
      </w:r>
    </w:p>
    <w:p>
      <w:r>
        <w:t xml:space="preserve">der Einholung gutachterlicher Stellungnahmen zur Erfüllung der Anerkennungsvoraussetzungen.</w:t>
      </w:r>
    </w:p>
    <w:p>
      <w:r>
        <w:t xml:space="preserve">Die §§ 9 und 12 des Gebührengesetzes für das Land Brandenburg bleiben unberührt.</w:t>
      </w:r>
    </w:p>
    <w:p>
      <w:r>
        <w:rPr>
          <w:color w:val="555555"/>
          <w:sz w:val="17"/>
        </w:rPr>
        <w:t xml:space="preserve">Zitiervorschlag: § 1 GebOMWFK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https://recht.nulegal.eu/gesetze/GebOMWFK/1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