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GebOMIK (Brandenburg) — Inkrafttreten, Außerkrafttreten</w:t>
      </w:r>
    </w:p>
    <w:p>
      <w:r>
        <w:rPr>
          <w:color w:val="555555"/>
          <w:sz w:val="18"/>
        </w:rPr>
        <w:t xml:space="preserve">Gebührenordnung des Ministeriums des Innern und für Kommunales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Diese Verordnung tritt am Tag nach der Verkündung in Kraft. Gleichzeitig tritt die Verordnung über die Gebühren für Amtshandlungen im Geschäftsbereich des Ministers des Innern vom 8. Mai 2000 ( GVBl. II S. 136), die zuletzt durch Verordnung vom 16. Dezember 2008 (GVBl. II S. 508) geändert worden ist, außer Kraft.</w:t>
      </w:r>
    </w:p>
    <w:p>
      <w:r>
        <w:t xml:space="preserve">Potsdam, den 21. Juli 2010</w:t>
      </w:r>
    </w:p>
    <w:p>
      <w:r>
        <w:t xml:space="preserve">Der Minister des Innern</w:t>
      </w:r>
    </w:p>
    <w:p>
      <w:r>
        <w:t xml:space="preserve">Rainer Speer</w:t>
      </w:r>
    </w:p>
    <w:p>
      <w:r>
        <w:rPr>
          <w:color w:val="555555"/>
          <w:sz w:val="17"/>
        </w:rPr>
        <w:t xml:space="preserve">Zitiervorschlag: § 7 GebOMIK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https://recht.nulegal.eu/gesetze/GebOMIK/7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