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GebOMIK (Brandenburg) — Umsatzsteuer</w:t>
      </w:r>
    </w:p>
    <w:p>
      <w:r>
        <w:rPr>
          <w:color w:val="555555"/>
          <w:sz w:val="18"/>
        </w:rPr>
        <w:t xml:space="preserve">Gebührenordnung des Ministeriums des Innern und für Kommunales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Die im anliegenden Gebührentarif aufgeführten Gebührensätze und Auslagen enthalten keine Umsatzsteuer. Soweit die Umsätze aus öffentlichen Leistungen im Sinne des § 1 der Umsatzsteuer unterliegen, ist bei der Erhebung der Gebühren und Auslagen die Umsatzsteuer zusätzlich auszuweisen und von der gebühren- und auslagenschuldenden Person zu entrichten.</w:t>
      </w:r>
    </w:p>
    <w:p>
      <w:r>
        <w:rPr>
          <w:color w:val="555555"/>
          <w:sz w:val="17"/>
        </w:rPr>
        <w:t xml:space="preserve">Zitiervorschlag: § 6 GebOMIK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https://recht.nulegal.eu/gesetze/GebOMIK/6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