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GebOMIK (Brandenburg) — Zeitgebühr</w:t>
      </w:r>
    </w:p>
    <w:p>
      <w:r>
        <w:rPr>
          <w:color w:val="555555"/>
          <w:sz w:val="18"/>
        </w:rPr>
        <w:t xml:space="preserve">Gebührenordnung des Ministeriums des Innern und für Kommunales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Soweit Gebühren nach dem Zeitaufwand zu berechnen sind, sind der Gebührenberechnung folgende Stundensätze zugrunde zu legen:</w:t>
      </w:r>
    </w:p>
    <w:p>
      <w:r>
        <w:t xml:space="preserve">für Bedienstete des höheren Dienstes oder vergleichbare Tarifbeschäftigte 89 Euro,</w:t>
      </w:r>
    </w:p>
    <w:p>
      <w:r>
        <w:t xml:space="preserve">für Bedienstete des gehobenen Dienstes oder vergleichbare Tarifbeschäftigte 75 Euro,</w:t>
      </w:r>
    </w:p>
    <w:p>
      <w:r>
        <w:t xml:space="preserve">für Bedienstete des mittleren Dienstes oder vergleichbare Tarifbeschäftigte 60 Euro.</w:t>
      </w:r>
    </w:p>
    <w:p>
      <w:r>
        <w:rPr>
          <w:color w:val="555555"/>
          <w:sz w:val="17"/>
        </w:rPr>
        <w:t xml:space="preserve">Zitiervorschlag: § 5 GebOMIK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https://recht.nulegal.eu/gesetze/GebOMIK/5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