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GebOMIK (Brandenburg) — Pauschgebühren</w:t>
      </w:r>
    </w:p>
    <w:p>
      <w:r>
        <w:rPr>
          <w:color w:val="555555"/>
          <w:sz w:val="18"/>
        </w:rPr>
        <w:t xml:space="preserve">Gebührenordnung des Ministeriums des Innern und für Kommunales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23.08.2026 (konsolidierte Textfassung, kein amtliches Inkrafttretensdatum)</w:t>
      </w:r>
    </w:p>
    <w:p>
      <w:r>
        <w:t xml:space="preserve">Zur Abgeltung mehrfacher, gleichartiger öffentlicher Leistungen, die denselben Schuldner betreffen, können die Gebühren für einen im Voraus zu bestimmenden Zeitraum von höchstens einem Jahr auf Antrag pauschal festgesetzt werden.</w:t>
      </w:r>
    </w:p>
    <w:p>
      <w:r>
        <w:rPr>
          <w:color w:val="555555"/>
          <w:sz w:val="17"/>
        </w:rPr>
        <w:t xml:space="preserve">Zitiervorschlag: § 4 GebOMIK (Brandenburg)</w:t>
      </w:r>
    </w:p>
    <w:p>
      <w:r>
        <w:rPr>
          <w:color w:val="555555"/>
          <w:sz w:val="17"/>
        </w:rPr>
        <w:t xml:space="preserve">Quelle: bravors, abgerufen 23.08.2026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https://recht.nulegal.eu/gesetze/GebOMIK/4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