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GebOMIK (Brandenburg) — Ausnahmen von der Gebührenpflicht</w:t>
      </w:r>
    </w:p>
    <w:p>
      <w:r>
        <w:rPr>
          <w:color w:val="555555"/>
          <w:sz w:val="18"/>
        </w:rPr>
        <w:t xml:space="preserve">Gebührenordnung des Ministeriums des Innern und für Kommunales</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Tarifstelle 1.2 des Gebührentarifs gilt nicht für</w:t>
      </w:r>
    </w:p>
    <w:p>
      <w:r>
        <w:t xml:space="preserve">Schriftsätze aus Verfahren nach dem Verwaltungsrechtlichen Rehabilitierungsgesetz oder nach dem Beruflichen Rehabilitierungsgesetz sowie</w:t>
      </w:r>
    </w:p>
    <w:p>
      <w:r>
        <w:t xml:space="preserve">Verfahren nach Artikel 56 Absatz 3 Satz 2 der Verfassung des Landes Brandenburg.</w:t>
      </w:r>
    </w:p>
    <w:p>
      <w:r>
        <w:t xml:space="preserve">(2) Die Tarifstelle 7.1 des Gebührentarifs gilt nicht für die Leistungen an altrechtliche Vereine mit Sitz in Brandenburg, die gemeinnützigen, mildtätigen oder kirchlichen Zwecken im Sinne der Abgabenordnung dienen. Die Tarifstellen 7.2.1 bis 7.2.2.2 gelten nicht für Personen, die eine Stiftung, die steuerbegünstigte Zwecke verfolgt, errichten oder errichten wollen.</w:t>
      </w:r>
    </w:p>
    <w:p>
      <w:r>
        <w:t xml:space="preserve">(3) Die Tarifstelle 13.2 des Gebührentarifs gilt nicht für die Leistungen an die Gemeinden, Gemeindeverbände und deren Zweckverbände.</w:t>
      </w:r>
    </w:p>
    <w:p>
      <w:r>
        <w:rPr>
          <w:color w:val="555555"/>
          <w:sz w:val="17"/>
        </w:rPr>
        <w:t xml:space="preserve">Zitiervorschlag: § 3 GebOMIK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https://recht.nulegal.eu/gesetze/GebOMIK/3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