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GebOMIK (Brandenburg) — Ausnahmen von der persönlichen Gebührenfreiheit</w:t>
      </w:r>
    </w:p>
    <w:p>
      <w:r>
        <w:rPr>
          <w:color w:val="555555"/>
          <w:sz w:val="18"/>
        </w:rPr>
        <w:t xml:space="preserve">Gebührenordnung des Ministeriums des Innern und für Kommunales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 nach § 8 Absatz 1 Nummer 1 und 2 des Gebührengesetzes für das Land Brandenburg befreiten juristischen Personen einschließlich ihrer Sondervermögen und Landesbetriebe sind gebührenpflichtig für die in der Tarifstelle 3 des Gebührentarifs festgelegten öffentlichen Leistungen in enteignungsrechtlichen Angelegenheiten.</w:t>
      </w:r>
    </w:p>
    <w:p>
      <w:r>
        <w:t xml:space="preserve">(2) Die nach § 8 Absatz 1 des Gebührengesetzes für das Land Brandenburg befreiten juristischen Personen sind gebührenpflichtig für die in Tarifstelle 11 des Gebührentarifs festgelegten öffentlichen Leistungen der Aus- und Fortbildung.</w:t>
      </w:r>
    </w:p>
    <w:p>
      <w:r>
        <w:rPr>
          <w:color w:val="555555"/>
          <w:sz w:val="17"/>
        </w:rPr>
        <w:t xml:space="preserve">Zitiervorschlag: § 2 GebOMIK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https://recht.nulegal.eu/gesetze/GebOMIK/2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