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GebOMIK (Brandenburg) — Gebührenpflichtige Leistungen</w:t>
      </w:r>
    </w:p>
    <w:p>
      <w:r>
        <w:rPr>
          <w:color w:val="555555"/>
          <w:sz w:val="18"/>
        </w:rPr>
        <w:t xml:space="preserve">Gebührenordnung des Ministeriums des Innern und für Kommunales</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Für öffentliche Leistungen, die im anliegenden Gebührentarif, der Bestandteil dieser Verordnung ist, genannt sind, werden die dort genannten Gebühren erhoben.</w:t>
      </w:r>
    </w:p>
    <w:p>
      <w:r>
        <w:t xml:space="preserve">(2) Die für öffentliche Leistungen nach dem Enteignungsgesetz des Landes Brandenburg in der Tarifstelle 3 des Gebührentarifs festgelegten Gebührensätze gelten für die öffentlichen Leistungen, die auf der Grundlage anderer Gesetze in enteignungsrechtlichen Verfahren vorgenommen werden, entsprechend.</w:t>
      </w:r>
    </w:p>
    <w:p>
      <w:r>
        <w:t xml:space="preserve">(3) Für öffentliche Leistungen, für die keine Tarifstelle vorhanden ist und die nicht ausschließlich im besonderen öffentlichen Interesse liegen, kann eine Gebühr in Höhe von mindestens einem und höchstens 500 Euro erhoben werden.</w:t>
      </w:r>
    </w:p>
    <w:p>
      <w:r>
        <w:rPr>
          <w:color w:val="555555"/>
          <w:sz w:val="17"/>
        </w:rPr>
        <w:t xml:space="preserve">Zitiervorschlag: § 1 GebOMIK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https://recht.nulegal.eu/gesetze/GebOMIK/1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