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GebOMGS (Brandenburg) — Umsatzsteuer</w:t>
      </w:r>
    </w:p>
    <w:p>
      <w:r>
        <w:rPr>
          <w:color w:val="555555"/>
          <w:sz w:val="18"/>
        </w:rPr>
        <w:t xml:space="preserve">Gebührenordnung MGS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23.08.2026 (konsolidierte Textfassung, kein amtliches Inkrafttretensdatum)</w:t>
      </w:r>
    </w:p>
    <w:p>
      <w:r>
        <w:t xml:space="preserve">Soweit die Amtshandlungen der Umsatzsteuer unterliegen, werden die Gebühren nach dieser Verordnung zuzüglich der gesetzlichen Umsatzsteuer erhoben.</w:t>
      </w:r>
    </w:p>
    <w:p>
      <w:r>
        <w:rPr>
          <w:color w:val="555555"/>
          <w:sz w:val="17"/>
        </w:rPr>
        <w:t xml:space="preserve">Zitiervorschlag: § 4 GebOMGS (Brandenburg)</w:t>
      </w:r>
    </w:p>
    <w:p>
      <w:r>
        <w:rPr>
          <w:color w:val="555555"/>
          <w:sz w:val="17"/>
        </w:rPr>
        <w:t xml:space="preserve">Quelle: bravors, abgerufen 23.08.2026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https://recht.nulegal.eu/gesetze/GebOMGS/4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