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GebOMGS (Brandenburg) — Einschränkungen der persönlichen Gebührenfreiheit</w:t>
      </w:r>
    </w:p>
    <w:p>
      <w:r>
        <w:rPr>
          <w:color w:val="555555"/>
          <w:sz w:val="18"/>
        </w:rPr>
        <w:t xml:space="preserve">Gebührenordnung MGS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Zur Zahlung von Gebühren für Amtshandlungen der Ärztekammer und der Zahnärztekammer nach den Tarifstellen 2.5.2.2.10 bis 2.5.2.2.14 der Anlage bleiben die in § 8 Absatz 1 des Gebührengesetzes für das Land Brandenburg genannten juristischen Personen des öffentlichen Rechts verpflichtet.</w:t>
      </w:r>
    </w:p>
    <w:p>
      <w:r>
        <w:t xml:space="preserve">(2) Zur Zahlung von Gebühren für Amtshandlungen der Gesundheitsämter nach den Tarifstellen 7.8.4.1, 7.8.4.2 und 7.9.1 bis 7.9.13 der Anlage bleiben die in § 8 Absatz 1 des Gebührengesetzes für das Land Brandenburg genannten juristischen Personen des öffentlichen Rechts verpflichtet.</w:t>
      </w:r>
    </w:p>
    <w:p>
      <w:r>
        <w:rPr>
          <w:color w:val="555555"/>
          <w:sz w:val="17"/>
        </w:rPr>
        <w:t xml:space="preserve">Zitiervorschlag: § 2 GebOMGS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https://recht.nulegal.eu/gesetze/GebOMGS/2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