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GebOMGS (Brandenburg) — Gebührenpflichtige Amtshandlungen</w:t>
      </w:r>
    </w:p>
    <w:p>
      <w:r>
        <w:rPr>
          <w:color w:val="555555"/>
          <w:sz w:val="18"/>
        </w:rPr>
        <w:t xml:space="preserve">Gebührenordnung MGS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in der Anlage genannten Amtshandlungen werden die dort aufgeführten Verwaltungsgebühren erhoben. Die Anlage ist Teil dieser Verordnung.</w:t>
      </w:r>
    </w:p>
    <w:p>
      <w:r>
        <w:rPr>
          <w:color w:val="555555"/>
          <w:sz w:val="17"/>
        </w:rPr>
        <w:t xml:space="preserve">Zitiervorschlag: § 1 GebOMGS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https://recht.nulegal.eu/gesetze/GebOMGS/1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