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GebOMBJS (Brandenburg) — Inkrafttreten, Außerkrafttreten</w:t>
      </w:r>
    </w:p>
    <w:p>
      <w:r>
        <w:rPr>
          <w:color w:val="555555"/>
          <w:sz w:val="18"/>
        </w:rPr>
        <w:t xml:space="preserve">Gebührenordnung MBJS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Gebührenordnung MBJS vom 6. November 2012 ( GVBl. II Nr. 94) außer Kraft.</w:t>
      </w:r>
    </w:p>
    <w:p>
      <w:r>
        <w:t xml:space="preserve">Einzelnorm</w:t>
      </w:r>
    </w:p>
    <w:p>
      <w:r>
        <w:t xml:space="preserve">Potsdam, den 22. Mai 2020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Britta Ernst</w:t>
      </w:r>
    </w:p>
    <w:p>
      <w:r>
        <w:t xml:space="preserve">Anlagen</w:t>
      </w:r>
    </w:p>
    <w:p>
      <w:r>
        <w:t xml:space="preserve">1</w:t>
      </w:r>
    </w:p>
    <w:p>
      <w:r>
        <w:t xml:space="preserve">Anlage - Gebührentarif 378.2 KB</w:t>
      </w:r>
    </w:p>
    <w:p>
      <w:r>
        <w:rPr>
          <w:color w:val="555555"/>
          <w:sz w:val="17"/>
        </w:rPr>
        <w:t xml:space="preserve">Zitiervorschlag: § 4 GebOMBJS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https://recht.nulegal.eu/gesetze/GebOMBJS/4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