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GebOLandw (Brandenburg) — Gebührenbemessung</w:t>
      </w:r>
    </w:p>
    <w:p>
      <w:r>
        <w:rPr>
          <w:color w:val="555555"/>
          <w:sz w:val="18"/>
        </w:rPr>
        <w:t xml:space="preserve">Verordnung zur Erhebung von Verwaltungsgebühren in den Bereichen Land- und Forstwirtschaft sowie Jagd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Soweit Gebühren nach dem erforderlichen Zeitaufwand zu berechnen sind, sind der Gebührenberechnung als Stundensätze zugrunde zu legen:</w:t>
      </w:r>
    </w:p>
    <w:p>
      <w:r>
        <w:t xml:space="preserve">für Beamtinnen oder Beamte des höheren Dienstes und vergleichbare Beschäftigte 81,00 EUR</w:t>
      </w:r>
    </w:p>
    <w:p>
      <w:r>
        <w:t xml:space="preserve">für Beamtinnen oder Beamte des gehobenen Dienstes und vergleichbare Beschäftigte 64,00 EUR</w:t>
      </w:r>
    </w:p>
    <w:p>
      <w:r>
        <w:t xml:space="preserve">für Beamtinnen oder Beamte des mittleren Dienstes und vergleichbare Beschäftigte 51,00 EUR</w:t>
      </w:r>
    </w:p>
    <w:p>
      <w:r>
        <w:t xml:space="preserve">für sonstige Angestellte 40,00 EUR.</w:t>
      </w:r>
    </w:p>
    <w:p>
      <w:r>
        <w:t xml:space="preserve">Bei der Ermittlung der Zeitgebühren ist die Zeit anzusetzen, die unter regelmäßigen Verhältnissen von einer entsprechend ausgebildeten Fachkraft benötigt wird. Die Zeit für Ortsbesichtigungen, einschließlich der An- und Abreise, ist einzurechnen.</w:t>
      </w:r>
    </w:p>
    <w:p>
      <w:r>
        <w:t xml:space="preserve">(2) Soweit die Leistungen nach dieser Gebührenordnung umsatzsteuerpflichtig sind, wird zu der Gebühr die Umsatzsteuer in der jeweils gesetzlichen Höhe hinzugerechnet.</w:t>
      </w:r>
    </w:p>
    <w:p>
      <w:r>
        <w:rPr>
          <w:color w:val="555555"/>
          <w:sz w:val="17"/>
        </w:rPr>
        <w:t xml:space="preserve">Zitiervorschlag: § 3 GebOLandw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https://recht.nulegal.eu/gesetze/GebOLandw/3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