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GebOLandw (Brandenburg) — Gebührentarif</w:t>
      </w:r>
    </w:p>
    <w:p>
      <w:r>
        <w:rPr>
          <w:color w:val="555555"/>
          <w:sz w:val="18"/>
        </w:rPr>
        <w:t xml:space="preserve">Verordnung zur Erhebung von Verwaltungsgebühren in den Bereichen Land- und Forstwirtschaft sowie Jagd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Für die in den Anlagen 1 und 2 genannten Amtshandlungen werden die dort genannten Verwaltungsgebühren erhoben.</w:t>
      </w:r>
    </w:p>
    <w:p>
      <w:r>
        <w:rPr>
          <w:color w:val="555555"/>
          <w:sz w:val="17"/>
        </w:rPr>
        <w:t xml:space="preserve">Zitiervorschlag: § 1 GebOLandw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https://recht.nulegal.eu/gesetze/GebOLandw/1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