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GebGBbg (Brandenburg) — Gebührenbemessungsarten</w:t>
      </w:r>
    </w:p>
    <w:p>
      <w:r>
        <w:rPr>
          <w:color w:val="555555"/>
          <w:sz w:val="18"/>
        </w:rPr>
        <w:t xml:space="preserve">Gebührengesetz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Gebühren sind durch feste Sätze oder durch Rahmensätze zu bestimmen.</w:t>
      </w:r>
    </w:p>
    <w:p>
      <w:r>
        <w:t xml:space="preserve">(2) Gebühren nach festen Sätzen sind</w:t>
      </w:r>
    </w:p>
    <w:p>
      <w:r>
        <w:t xml:space="preserve">die mit einem bestimmten unveränderlichen Betrag vorgesehene Gebühr (Festbetragsgebühr),</w:t>
      </w:r>
    </w:p>
    <w:p>
      <w:r>
        <w:t xml:space="preserve">die von einem feststehenden Wert oder Maßstab abhängige Gebühr (Wert- oder Maßstabsgebühr),</w:t>
      </w:r>
    </w:p>
    <w:p>
      <w:r>
        <w:t xml:space="preserve">die nach feststehenden Stundensätzen vorgesehene Gebühr (Zeitgebühr).</w:t>
      </w:r>
    </w:p>
    <w:p>
      <w:r>
        <w:t xml:space="preserve">(3) Bei Rahmengebühren sind ein Mindest- und ein Höchstsatz für die Gebühr festzulegen. Der Verordnungsgeber kann Kriterien angeben, die die gebührenerhebende Stelle bei der Festsetzung der Gebühr zu beachten hat.</w:t>
      </w:r>
    </w:p>
    <w:p>
      <w:r>
        <w:rPr>
          <w:color w:val="555555"/>
          <w:sz w:val="17"/>
        </w:rPr>
        <w:t xml:space="preserve">Zitiervorschlag: § 5 GebGBbg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https://recht.nulegal.eu/gesetze/GebGBbg/5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