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GebGBbg (Brandenburg) — Gebührenordnungen</w:t>
      </w:r>
    </w:p>
    <w:p>
      <w:r>
        <w:rPr>
          <w:color w:val="555555"/>
          <w:sz w:val="18"/>
        </w:rPr>
        <w:t xml:space="preserve">Gebührengesetz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der Landesregierung haben für ihren jeweiligen Geschäftsbereich</w:t>
      </w:r>
    </w:p>
    <w:p>
      <w:r>
        <w:t xml:space="preserve">die einzelnen Amtshandlungen, für die Verwaltungsgebühren erhoben werden,</w:t>
      </w:r>
    </w:p>
    <w:p>
      <w:r>
        <w:t xml:space="preserve">die Einrichtungen und Anlagen, für die Benutzungsgebühren erhoben werden, und die Benutzungsarten</w:t>
      </w:r>
    </w:p>
    <w:p>
      <w:r>
        <w:t xml:space="preserve">sowie die Gebührensätze durch Rechtsverordnung (Gebührenordnung) unter Beachtung der §§ 4 bis 6 zu bestimmen.</w:t>
      </w:r>
    </w:p>
    <w:p>
      <w:r>
        <w:t xml:space="preserve">(2) Die Gebührenordnungen nach Absatz 1 können</w:t>
      </w:r>
    </w:p>
    <w:p>
      <w:r>
        <w:t xml:space="preserve">einzelne Behörden und deren öffentliche Leistungen bestimmen, für die auch die nach § 8 von Gebühren befreiten juristischen Personen Gebühren zu entrichten haben,</w:t>
      </w:r>
    </w:p>
    <w:p>
      <w:r>
        <w:t xml:space="preserve">bei öffentlichen Leistungen, an deren Erbringung ein besonderes öffentliches Interesse besteht, von der Gebühren- und Auslagenerhebung ganz oder teilweise absehen. Insbesondere kann bei öffentlichen Leistungen an eingetragene Vereine, die gemeinnützigen, mildtätigen oder kirchlichen Zwecken im Sinne der Abgabenordnung dienen, von der Gebühren- und Auslagenerhebung abgesehen werden.</w:t>
      </w:r>
    </w:p>
    <w:p>
      <w:r>
        <w:rPr>
          <w:color w:val="555555"/>
          <w:sz w:val="17"/>
        </w:rPr>
        <w:t xml:space="preserve">Zitiervorschlag: § 3 GebGBbg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https://recht.nulegal.eu/gesetze/GebGBbg/3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GebGBbg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