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GebG NRW (Nordrhein-Westfalen)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23. August 1999</w:t>
      </w:r>
    </w:p>
    <w:p>
      <w:r>
        <w:t xml:space="preserve">Aufgrund des Artikels 18 Nr. 1 des Ersten Gesetzes zur Modernisierung von Regierung und Verwaltung in Nordrhein-Westfalen (Erstes Modernisierungsgesetz - 1. ModernG NRW) vom 15. Juni 1999 (GV. NRW. S. 386) wird nachstehend der Wortlaut des Gebührengesetzes für das Land Nordrhein-Westfalen (GebG NRW) vom 23. November 1971 (GV. NRW. S. 354) in der seit dem 14. Juli 1999 geltenden Fassung bekanntgemacht.</w:t>
      </w:r>
    </w:p>
    <w:p>
      <w:r>
        <w:t xml:space="preserve">Die Neufassung berücksichtigt:</w:t>
      </w:r>
    </w:p>
    <w:p>
      <w:r>
        <w:t xml:space="preserve">1. das am 29. Oktober 1977 in Kraft getretene Gesetz zur Änderung des Gebührengesetzes für das Land Nordrhein-Westfalen vom 11. Oktober 1977 (GV. NRW. S. 354),</w:t>
      </w:r>
    </w:p>
    <w:p>
      <w:r>
        <w:t xml:space="preserve">2. das am 30. März 1985 in Kraft getretene Zweite Gesetz zur Änderung des Gebührengesetzes für das Land Nordrhein-Westfalen vom 19. März 1985 (GV. NRW. S. 256) und</w:t>
      </w:r>
    </w:p>
    <w:p>
      <w:r>
        <w:t xml:space="preserve">3. Artikel 7 des am 14. Juli 1999 in Kraft getretenen Ersten Modernisierungsgesetzes.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t xml:space="preserve">Gebührengesetz</w:t>
      </w:r>
    </w:p>
    <w:p>
      <w:r>
        <w:t xml:space="preserve">für das Land Nordrhein-Westfalen</w:t>
      </w:r>
    </w:p>
    <w:p>
      <w:r>
        <w:t xml:space="preserve">(Gebührengesetz NRW - GebG NRW)</w:t>
      </w:r>
    </w:p>
    <w:p>
      <w:r>
        <w:t xml:space="preserve">vom 23. August 1999</w:t>
      </w:r>
    </w:p>
    <w:p>
      <w:r>
        <w:t xml:space="preserve">Gliederung</w:t>
      </w:r>
    </w:p>
    <w:p>
      <w:r>
        <w:t xml:space="preserve">1. Abschnitt</w:t>
      </w:r>
    </w:p>
    <w:p>
      <w:r>
        <w:t xml:space="preserve">Anwendungsbereich</w:t>
      </w:r>
    </w:p>
    <w:p>
      <w:r>
        <w:t xml:space="preserve">§ 1</w:t>
      </w:r>
    </w:p>
    <w:p>
      <w:r>
        <w:t xml:space="preserve">Gegenstand des Gesetzes, Umsatzsteuer</w:t>
      </w:r>
    </w:p>
    <w:p>
      <w:r>
        <w:t xml:space="preserve">2. Abschnitt</w:t>
      </w:r>
    </w:p>
    <w:p>
      <w:r>
        <w:t xml:space="preserve">Ermächtigung zum Erlass von Verwaltungsgebührenordnungen</w:t>
      </w:r>
    </w:p>
    <w:p>
      <w:r>
        <w:t xml:space="preserve">§ 2</w:t>
      </w:r>
    </w:p>
    <w:p>
      <w:r>
        <w:t xml:space="preserve">Gebührenordnungen</w:t>
      </w:r>
    </w:p>
    <w:p>
      <w:r>
        <w:t xml:space="preserve">§ 3</w:t>
      </w:r>
    </w:p>
    <w:p>
      <w:r>
        <w:t xml:space="preserve">Bemessung der Gebührensätze</w:t>
      </w:r>
    </w:p>
    <w:p>
      <w:r>
        <w:t xml:space="preserve">§ 4</w:t>
      </w:r>
    </w:p>
    <w:p>
      <w:r>
        <w:t xml:space="preserve">Gebührenbemessungsarten</w:t>
      </w:r>
    </w:p>
    <w:p>
      <w:r>
        <w:t xml:space="preserve">§ 5</w:t>
      </w:r>
    </w:p>
    <w:p>
      <w:r>
        <w:t xml:space="preserve">Pauschgebühren</w:t>
      </w:r>
    </w:p>
    <w:p>
      <w:r>
        <w:t xml:space="preserve">§ 6</w:t>
      </w:r>
    </w:p>
    <w:p>
      <w:r>
        <w:t xml:space="preserve">Ermäßigung und Befreiung</w:t>
      </w:r>
    </w:p>
    <w:p>
      <w:r>
        <w:t xml:space="preserve">3. Abschnitt</w:t>
      </w:r>
    </w:p>
    <w:p>
      <w:r>
        <w:t xml:space="preserve">Allgemeine Vorschriften zu den Verwaltungsgebühren</w:t>
      </w:r>
    </w:p>
    <w:p>
      <w:r>
        <w:t xml:space="preserve">§ 7</w:t>
      </w:r>
    </w:p>
    <w:p>
      <w:r>
        <w:t xml:space="preserve">Sachliche Gebührenfreiheit</w:t>
      </w:r>
    </w:p>
    <w:p>
      <w:r>
        <w:t xml:space="preserve">§ 8</w:t>
      </w:r>
    </w:p>
    <w:p>
      <w:r>
        <w:t xml:space="preserve">Persönliche Gebührenfreiheit</w:t>
      </w:r>
    </w:p>
    <w:p>
      <w:r>
        <w:t xml:space="preserve">§ 9</w:t>
      </w:r>
    </w:p>
    <w:p>
      <w:r>
        <w:t xml:space="preserve">Gebührenbemessung</w:t>
      </w:r>
    </w:p>
    <w:p>
      <w:r>
        <w:t xml:space="preserve">§ 10</w:t>
      </w:r>
    </w:p>
    <w:p>
      <w:r>
        <w:t xml:space="preserve">Auslagen</w:t>
      </w:r>
    </w:p>
    <w:p>
      <w:r>
        <w:t xml:space="preserve">§ 11</w:t>
      </w:r>
    </w:p>
    <w:p>
      <w:r>
        <w:t xml:space="preserve">Entstehung der Kostenschuld</w:t>
      </w:r>
    </w:p>
    <w:p>
      <w:r>
        <w:t xml:space="preserve">§ 12</w:t>
      </w:r>
    </w:p>
    <w:p>
      <w:r>
        <w:t xml:space="preserve">Kostengläubiger</w:t>
      </w:r>
    </w:p>
    <w:p>
      <w:r>
        <w:t xml:space="preserve">§ 13</w:t>
      </w:r>
    </w:p>
    <w:p>
      <w:r>
        <w:t xml:space="preserve">Kostenschuldner</w:t>
      </w:r>
    </w:p>
    <w:p>
      <w:r>
        <w:t xml:space="preserve">§ 14</w:t>
      </w:r>
    </w:p>
    <w:p>
      <w:r>
        <w:t xml:space="preserve">Kostenentscheidung</w:t>
      </w:r>
    </w:p>
    <w:p>
      <w:r>
        <w:t xml:space="preserve">§ 15</w:t>
      </w:r>
    </w:p>
    <w:p>
      <w:r>
        <w:t xml:space="preserve">Gebühren in besonderen Fällen</w:t>
      </w:r>
    </w:p>
    <w:p>
      <w:r>
        <w:t xml:space="preserve">§ 16</w:t>
      </w:r>
    </w:p>
    <w:p>
      <w:r>
        <w:t xml:space="preserve">Vorschusszahlung und Sicherheitsleistung</w:t>
      </w:r>
    </w:p>
    <w:p>
      <w:r>
        <w:t xml:space="preserve">§ 17</w:t>
      </w:r>
    </w:p>
    <w:p>
      <w:r>
        <w:t xml:space="preserve">Fälligkeit</w:t>
      </w:r>
    </w:p>
    <w:p>
      <w:r>
        <w:t xml:space="preserve">§ 18</w:t>
      </w:r>
    </w:p>
    <w:p>
      <w:r>
        <w:t xml:space="preserve">Säumniszuschlag und Entrichtung</w:t>
      </w:r>
    </w:p>
    <w:p>
      <w:r>
        <w:t xml:space="preserve">§ 19</w:t>
      </w:r>
    </w:p>
    <w:p>
      <w:r>
        <w:t xml:space="preserve">Stundung, Niederschlagung und Erlass</w:t>
      </w:r>
    </w:p>
    <w:p>
      <w:r>
        <w:t xml:space="preserve">§ 20</w:t>
      </w:r>
    </w:p>
    <w:p>
      <w:r>
        <w:t xml:space="preserve">Verjährung</w:t>
      </w:r>
    </w:p>
    <w:p>
      <w:r>
        <w:t xml:space="preserve">§ 21</w:t>
      </w:r>
    </w:p>
    <w:p>
      <w:r>
        <w:t xml:space="preserve">Erstattung</w:t>
      </w:r>
    </w:p>
    <w:p>
      <w:r>
        <w:t xml:space="preserve">§ 22</w:t>
      </w:r>
    </w:p>
    <w:p>
      <w:r>
        <w:t xml:space="preserve">Rechtsbehelf</w:t>
      </w:r>
    </w:p>
    <w:p>
      <w:r>
        <w:t xml:space="preserve">§ 23</w:t>
      </w:r>
    </w:p>
    <w:p>
      <w:r>
        <w:t xml:space="preserve">(weggefallen)</w:t>
      </w:r>
    </w:p>
    <w:p>
      <w:r>
        <w:t xml:space="preserve">4. Abschnitt</w:t>
      </w:r>
    </w:p>
    <w:p>
      <w:r>
        <w:t xml:space="preserve">Allgemeine Vorschriften zu den Benutzungsgebühren</w:t>
      </w:r>
    </w:p>
    <w:p>
      <w:r>
        <w:t xml:space="preserve">§ 24</w:t>
      </w:r>
    </w:p>
    <w:p>
      <w:r>
        <w:t xml:space="preserve">Gebührenordnung</w:t>
      </w:r>
    </w:p>
    <w:p>
      <w:r>
        <w:t xml:space="preserve">§ 25</w:t>
      </w:r>
    </w:p>
    <w:p>
      <w:r>
        <w:t xml:space="preserve">Gebührenbemessung</w:t>
      </w:r>
    </w:p>
    <w:p>
      <w:r>
        <w:t xml:space="preserve">§ 26</w:t>
      </w:r>
    </w:p>
    <w:p>
      <w:r>
        <w:t xml:space="preserve">Entstehung und Fälligkeit der Gebühr</w:t>
      </w:r>
    </w:p>
    <w:p>
      <w:r>
        <w:t xml:space="preserve">§ 27</w:t>
      </w:r>
    </w:p>
    <w:p>
      <w:r>
        <w:t xml:space="preserve">Kostengläubiger</w:t>
      </w:r>
    </w:p>
    <w:p>
      <w:r>
        <w:t xml:space="preserve">§ 28</w:t>
      </w:r>
    </w:p>
    <w:p>
      <w:r>
        <w:t xml:space="preserve">Kostenschuldner</w:t>
      </w:r>
    </w:p>
    <w:p>
      <w:r>
        <w:t xml:space="preserve">5. Abschnitt</w:t>
      </w:r>
    </w:p>
    <w:p>
      <w:r>
        <w:t xml:space="preserve">Schlußvorschriften</w:t>
      </w:r>
    </w:p>
    <w:p>
      <w:r>
        <w:t xml:space="preserve">§ 29</w:t>
      </w:r>
    </w:p>
    <w:p>
      <w:r>
        <w:t xml:space="preserve">Verwaltungsvorschriften</w:t>
      </w:r>
    </w:p>
    <w:p>
      <w:r>
        <w:t xml:space="preserve">§ 30</w:t>
      </w:r>
    </w:p>
    <w:p>
      <w:r>
        <w:t xml:space="preserve">Übergangsregelung zu § 20</w:t>
      </w:r>
    </w:p>
    <w:p>
      <w:r>
        <w:t xml:space="preserve">§ 31</w:t>
      </w:r>
    </w:p>
    <w:p>
      <w:r>
        <w:t xml:space="preserve">Inkrafttreten</w:t>
      </w:r>
    </w:p>
    <w:p>
      <w:r>
        <w:t xml:space="preserve">1. Abschnitt</w:t>
      </w:r>
    </w:p>
    <w:p>
      <w:r>
        <w:t xml:space="preserve">Anwendungsbereich</w:t>
      </w:r>
    </w:p>
    <w:p>
      <w:r>
        <w:rPr>
          <w:color w:val="555555"/>
          <w:sz w:val="17"/>
        </w:rPr>
        <w:t xml:space="preserve">Zitiervorschlag: Volltext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