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GebG NRW (Nordrhein-Westfalen) — Gebührenbemessung</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Rahmensätze für Gebühren vorgesehen, so sind bei der Festsetzung der Gebühr im Einzelfall zu berücksichtigen</w:t>
      </w:r>
    </w:p>
    <w:p>
      <w:r>
        <w:t xml:space="preserve">1. der mit der Amtshandlung verbundene Verwaltungsaufwand, soweit Aufwendungen nicht als Auslagen gesondert berechnet werden, und</w:t>
      </w:r>
    </w:p>
    <w:p>
      <w:r>
        <w:t xml:space="preserve">2. die Bedeutung, der wirtschaftliche Wert oder der sonstige Nutzen der Amtshandlung für den Gebührenschuldner sowie auf Antrag dessen wirtschaftliche Verhältnisse.</w:t>
      </w:r>
    </w:p>
    <w:p>
      <w:r>
        <w:t xml:space="preserve">Sofern ein Rechtsakt der Europäischen Union vorschreibt, dass eine Gebühr nicht den Verwaltungsaufwand übersteigen darf, findet in seinem Anwendungsbereich Satz 1 Nummer 2 keine Anwendung.</w:t>
      </w:r>
    </w:p>
    <w:p>
      <w:r>
        <w:t xml:space="preserve">(2) Ist eine Gebühr nach dem Wert des Gegenstandes zu berechnen, so ist der Wert zum Zeitpunkt der Beendigung der Amtshandlung maßgebend, soweit die Gebührenordnung nichts anderes bestimmt.</w:t>
      </w:r>
    </w:p>
    <w:p>
      <w:r>
        <w:t xml:space="preserve">(3) Pauschgebühren sind nur auf Antrag und im Voraus festzusetzen.</w:t>
      </w:r>
    </w:p>
    <w:p>
      <w:r>
        <w:t xml:space="preserve">(4) Wird eine Amtshandlung vollständig durch automatische Einrichtungen im Sinne des § 35a des Verwaltungsverfahrensgesetzes NRW in der Fassung der Bekanntmachung vom 12. November 1999 (GV. NRW. S. 602) in der jeweils geltenden Fassung durchgeführt, so ist die jeweilige Gebühr durch feste Sätze zu bestimmen.</w:t>
      </w:r>
    </w:p>
    <w:p>
      <w:r>
        <w:rPr>
          <w:color w:val="555555"/>
          <w:sz w:val="17"/>
        </w:rPr>
        <w:t xml:space="preserve">Zitiervorschlag: § 9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