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GebG NRW (Nordrhein-Westfalen) — Ermäßigung und Befreiung</w:t>
      </w:r>
    </w:p>
    <w:p>
      <w:r>
        <w:rPr>
          <w:color w:val="555555"/>
          <w:sz w:val="18"/>
        </w:rPr>
        <w:t xml:space="preserve">Gebührengesetz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Aus Gründen der Billigkeit, insbesondere zur Vermeidung sozialer Härten, kann Gebührenermäßigung und Auslagenermäßigung sowie Gebührenbefreiung und Auslagenbefreiung vorgesehen und zugelassen werden. Dasselbe gilt für Amtshandlungen, die einem von der handelnden Behörde wahrzunehmenden öffentlichen Interesse dienen.</w:t>
      </w:r>
    </w:p>
    <w:p>
      <w:r>
        <w:t xml:space="preserve">3. Abschnitt</w:t>
      </w:r>
    </w:p>
    <w:p>
      <w:r>
        <w:t xml:space="preserve">Allgemeine Vorschriften zu den Verwaltungsgebühren</w:t>
      </w:r>
    </w:p>
    <w:p>
      <w:r>
        <w:rPr>
          <w:color w:val="555555"/>
          <w:sz w:val="17"/>
        </w:rPr>
        <w:t xml:space="preserve">Zitiervorschlag: § 6 GebG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https://recht.nulegal.eu/gesetze/GebG%20NRW/6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