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29 GebG NRW (Nordrhein-Westfalen) — Verwaltungsvorschriften</w:t>
      </w:r>
    </w:p>
    <w:p>
      <w:r>
        <w:rPr>
          <w:color w:val="555555"/>
          <w:sz w:val="18"/>
        </w:rPr>
        <w:t xml:space="preserve">Gebührengesetz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für Inneres zuständige Ministerium erlässt im Einvernehmen mit dem für Finanzen zuständigen Ministerium allgemeine Verwaltungsvorschriften zur Durchführung des Gesetzes.</w:t>
      </w:r>
    </w:p>
    <w:p>
      <w:r>
        <w:rPr>
          <w:color w:val="555555"/>
          <w:sz w:val="17"/>
        </w:rPr>
        <w:t xml:space="preserve">Zitiervorschlag: § 29 GebG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https://recht.nulegal.eu/gesetze/GebG%20NRW/29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