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GebG NRW (Nordrhein-Westfalen) — Gebührenbemessung</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Zwischen der Höhe der Gebühr einerseits und der Bedeutung, dem wirtschaftlichen Wert oder dem sonstigen Nutzen der Benutzung für den Kostenschuldner andererseits hat ein angemessenes Verhältnis zu bestehen.</w:t>
      </w:r>
    </w:p>
    <w:p>
      <w:r>
        <w:t xml:space="preserve">(2) Im Rahmen von Absatz 1 ist der Gebührensatz für die Benutzung so zu bemessen, dass das veranschlagte Gebührenaufkommen die voraussichtlichen Kosten der Einrichtung oder Anlage nicht übersteigt und in der Regel deckt. Dabei ist von der Inanspruchnahme der Einrichtung oder der Anlage auszugehen (Wirklichkeitsmaßstab). Wenn das besonders schwierig oder wirtschaftlich nicht vertretbar ist, kann ein Wahrscheinlichkeitsmaßstab gewählt werden, der nicht in einem offensichtlichen Mißverhältnis zu der Inanspruchnahme stehen darf. Die Erhebung einer Grundgebühr neben der Gebühr nach Satz 2 oder 3 sowie die Erhebung einer Mindestgebühr ist zulässig.</w:t>
      </w:r>
    </w:p>
    <w:p>
      <w:r>
        <w:t xml:space="preserve">(3) Kosten im Sinne des Absatzes 2 sind die nach betriebswirtschaftlichen Grundsätzen ansatzfähigen Kosten. Dazu gehören auch Entgelte für in Anspruch genommene Fremdleistungen, Abschreibungen, die nach der mutmaßlichen Nutzungsdauer oder der Leistungsmenge gleichmäßig zu bemessen sind, sowie eine angemessene Verzinsung des aufgewendeten Kapitals; bei der Verzinsung bleibt der aus Beiträgen und Zuschüssen Dritter aufgebrachte Eigenkapitalanteil außer Betracht.</w:t>
      </w:r>
    </w:p>
    <w:p>
      <w:r>
        <w:rPr>
          <w:color w:val="555555"/>
          <w:sz w:val="17"/>
        </w:rPr>
        <w:t xml:space="preserve">Zitiervorschlag: § 25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