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GebG NRW (Nordrhein-Westfalen) — Gebührenordnung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öffentlichen Einrichtungen und Anlagen, für deren Benutzung Gebühren erhoben werden, die gebührenpflichtigen Benutzungsarten und die Gebührensätze sind in Gebührenordnungen zu bestimmen.</w:t>
      </w:r>
    </w:p>
    <w:p>
      <w:r>
        <w:t xml:space="preserve">(2) § 2 Absatz 2 und § 6 gelten sinngemäß.</w:t>
      </w:r>
    </w:p>
    <w:p>
      <w:r>
        <w:t xml:space="preserve">(3) Bei Erlass einer Benutzungsgebührenordnung hat sich der Verordnungsgeber im Rahmen des § 25 zu halten.</w:t>
      </w:r>
    </w:p>
    <w:p>
      <w:r>
        <w:rPr>
          <w:color w:val="555555"/>
          <w:sz w:val="17"/>
        </w:rPr>
        <w:t xml:space="preserve">Zitiervorschlag: § 24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