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GebG NRW (Nordrhein-Westfalen) — (weggefallen)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4. Abschnitt</w:t>
      </w:r>
    </w:p>
    <w:p>
      <w:r>
        <w:t xml:space="preserve">Allgemeine Vorschriften zu den</w:t>
      </w:r>
    </w:p>
    <w:p>
      <w:r>
        <w:t xml:space="preserve">Benutzungsgebühren</w:t>
      </w:r>
    </w:p>
    <w:p>
      <w:r>
        <w:rPr>
          <w:color w:val="555555"/>
          <w:sz w:val="17"/>
        </w:rPr>
        <w:t xml:space="preserve">Zitiervorschlag: § 23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