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GebG NRW (Nordrhein-Westfalen) — Gebührenordnungen</w:t>
      </w:r>
    </w:p>
    <w:p>
      <w:r>
        <w:rPr>
          <w:color w:val="555555"/>
          <w:sz w:val="18"/>
        </w:rPr>
        <w:t xml:space="preserve">Gebührengesetz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einzelnen Amtshandlungen, für die Gebühren erhoben werden, und die Gebührensätze sind unter Beachtung der §§ 3 bis 6 in Gebührenordnungen zu bestimmen.</w:t>
      </w:r>
    </w:p>
    <w:p>
      <w:r>
        <w:t xml:space="preserve">(2) Die Gebührenordnungen erlässt die Landesregierung. Sie kann diese Befugnis für bestimmte Bereiche der Verwaltung auf das dafür zuständige Ministerium übertragen. In diesem Falle hat das zuständige Ministerium das Einvernehmen des für Inneres zuständigen Ministeriums und des für Finanzen zuständigen Ministeriums herbeizuführen.</w:t>
      </w:r>
    </w:p>
    <w:p>
      <w:r>
        <w:t xml:space="preserve">(3) Die Gemeinden und Gemeindeverbände können in ihrem Aufgabenbereich für Amtshandlungen, die in Gebührenordnungen im Sinne des Absatzes 2 erfasst sind, eigene Gebührenordnungen (Satzungen) mit abweichenden Gebührensätzen erlassen. Dies gilt nicht, wenn Amtshandlungen mit gleicher rechtlicher Wirkung von Öffentlich bestellten Vermessungsingenieurinnen beziehungsweise Öffentlich bestellten Vermessungsingenieuren ausgeführt werden können oder wenn Amtshandlungen in gleicher Weise auch von privaten Sachverständigen für die Grundstückswertermittlung erbracht werden können. Dies gilt auch nicht für Amtshandlungen im Gesundheitswesen und bei Auskünften nach dem Umweltinformationsgesetz Nordrhein-Westfalen vom 29. März 2007 (GV. NRW. S. 142, ber. S. 658) in der jeweils geltenden Fassung, soweit sie in den in Absatz 2 genannten Gebührenordnungen ausdrücklich ausgenommen sind.</w:t>
      </w:r>
    </w:p>
    <w:p>
      <w:r>
        <w:rPr>
          <w:color w:val="555555"/>
          <w:sz w:val="17"/>
        </w:rPr>
        <w:t xml:space="preserve">Zitiervorschlag: § 2 GebG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https://recht.nulegal.eu/gesetze/GebG%20NRW/2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